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A34" w:rsidRPr="005C2742" w:rsidRDefault="00BF044D" w:rsidP="005C2742">
      <w:pPr>
        <w:pStyle w:val="berschrift1"/>
        <w:rPr>
          <w:color w:val="5B9BD5" w:themeColor="accent1"/>
        </w:rPr>
      </w:pPr>
      <w:r w:rsidRPr="005C2742">
        <w:rPr>
          <w:color w:val="5B9BD5" w:themeColor="accent1"/>
        </w:rPr>
        <w:t xml:space="preserve">Einführung in die Soziologie – 7. Vorlesung </w:t>
      </w:r>
    </w:p>
    <w:p w:rsidR="00BF044D" w:rsidRPr="005C2742" w:rsidRDefault="00BF044D" w:rsidP="005C2742">
      <w:pPr>
        <w:pStyle w:val="berschrift1"/>
        <w:rPr>
          <w:i/>
          <w:color w:val="5B9BD5" w:themeColor="accent1"/>
          <w:sz w:val="26"/>
          <w:szCs w:val="26"/>
        </w:rPr>
      </w:pPr>
      <w:r w:rsidRPr="005C2742">
        <w:rPr>
          <w:i/>
          <w:color w:val="5B9BD5" w:themeColor="accent1"/>
          <w:sz w:val="26"/>
          <w:szCs w:val="26"/>
        </w:rPr>
        <w:t xml:space="preserve">Sozialer Raum: Klassen und Lebensstile </w:t>
      </w:r>
    </w:p>
    <w:p w:rsidR="00BF044D" w:rsidRPr="0049509B" w:rsidRDefault="00BF044D" w:rsidP="00BF044D">
      <w:pPr>
        <w:pStyle w:val="KeinLeerraum"/>
        <w:rPr>
          <w:sz w:val="10"/>
          <w:szCs w:val="10"/>
        </w:rPr>
      </w:pPr>
    </w:p>
    <w:p w:rsidR="00BF044D" w:rsidRPr="005C2742"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5C2742">
        <w:rPr>
          <w:rFonts w:ascii="Calibri" w:eastAsia="Times New Roman" w:hAnsi="Calibri" w:cs="Times New Roman"/>
          <w:b/>
          <w:color w:val="5B9BD5" w:themeColor="accent1"/>
          <w:sz w:val="24"/>
          <w:szCs w:val="24"/>
          <w:u w:val="single"/>
          <w:lang w:eastAsia="de-AT"/>
        </w:rPr>
        <w:t>Sozialer Raum</w:t>
      </w:r>
    </w:p>
    <w:p w:rsidR="00BF044D" w:rsidRPr="00923653" w:rsidRDefault="00BF044D" w:rsidP="00BF044D">
      <w:pPr>
        <w:pStyle w:val="KeinLeerraum"/>
        <w:rPr>
          <w:b/>
        </w:rPr>
      </w:pPr>
      <w:r w:rsidRPr="00923653">
        <w:rPr>
          <w:b/>
        </w:rPr>
        <w:t>Pierre Bourdieu (1930 –2002):</w:t>
      </w:r>
      <w:r w:rsidR="00D31E78" w:rsidRPr="00923653">
        <w:rPr>
          <w:b/>
        </w:rPr>
        <w:t xml:space="preserve"> (wurde bei der Prüfung gefragt!)</w:t>
      </w:r>
    </w:p>
    <w:p w:rsidR="00BF044D" w:rsidRPr="00923653" w:rsidRDefault="00BF044D" w:rsidP="00BF044D">
      <w:pPr>
        <w:pStyle w:val="KeinLeerraum"/>
      </w:pPr>
      <w:r w:rsidRPr="00923653">
        <w:t xml:space="preserve">Sozialer Raum = </w:t>
      </w:r>
    </w:p>
    <w:p w:rsidR="0049509B" w:rsidRPr="00923653" w:rsidRDefault="00BF044D" w:rsidP="00BF044D">
      <w:pPr>
        <w:pStyle w:val="KeinLeerraum"/>
        <w:numPr>
          <w:ilvl w:val="0"/>
          <w:numId w:val="1"/>
        </w:numPr>
        <w:ind w:left="284" w:hanging="284"/>
      </w:pPr>
      <w:r w:rsidRPr="00923653">
        <w:t>Raum objektiver sozialer Positionen</w:t>
      </w:r>
    </w:p>
    <w:p w:rsidR="0049509B" w:rsidRPr="00923653" w:rsidRDefault="00BF044D" w:rsidP="00BF044D">
      <w:pPr>
        <w:pStyle w:val="KeinLeerraum"/>
        <w:numPr>
          <w:ilvl w:val="0"/>
          <w:numId w:val="1"/>
        </w:numPr>
        <w:ind w:left="284" w:hanging="284"/>
      </w:pPr>
      <w:r w:rsidRPr="00923653">
        <w:t>Verfügung über Kapital, Unterschiede in Geschmack und Lebensstil</w:t>
      </w:r>
    </w:p>
    <w:p w:rsidR="0049509B" w:rsidRDefault="00BF044D" w:rsidP="0049509B">
      <w:pPr>
        <w:pStyle w:val="KeinLeerraum"/>
        <w:numPr>
          <w:ilvl w:val="0"/>
          <w:numId w:val="1"/>
        </w:numPr>
        <w:ind w:left="284" w:hanging="284"/>
      </w:pPr>
      <w:r w:rsidRPr="00923653">
        <w:t>Struktur objektiver Relationen, die mögliche Interaktionen festlegt</w:t>
      </w:r>
    </w:p>
    <w:p w:rsidR="00FD74E1" w:rsidRPr="00923653" w:rsidRDefault="00FD74E1" w:rsidP="00FD74E1">
      <w:pPr>
        <w:pStyle w:val="KeinLeerraum"/>
        <w:ind w:left="284"/>
      </w:pPr>
      <w:bookmarkStart w:id="0" w:name="_GoBack"/>
      <w:bookmarkEnd w:id="0"/>
    </w:p>
    <w:p w:rsidR="00BF044D" w:rsidRPr="00923653"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 xml:space="preserve">Kapitalsorten </w:t>
      </w:r>
    </w:p>
    <w:p w:rsidR="0049509B" w:rsidRPr="00923653" w:rsidRDefault="00BF044D" w:rsidP="00BF044D">
      <w:pPr>
        <w:pStyle w:val="KeinLeerraum"/>
        <w:rPr>
          <w:color w:val="5B9BD5" w:themeColor="accent1"/>
        </w:rPr>
      </w:pPr>
      <w:r w:rsidRPr="00923653">
        <w:rPr>
          <w:color w:val="5B9BD5" w:themeColor="accent1"/>
        </w:rPr>
        <w:t xml:space="preserve">Ökonomisches Kapital: </w:t>
      </w:r>
    </w:p>
    <w:p w:rsidR="00BF044D" w:rsidRPr="00923653" w:rsidRDefault="00BF044D" w:rsidP="00BF044D">
      <w:pPr>
        <w:pStyle w:val="KeinLeerraum"/>
      </w:pPr>
      <w:r w:rsidRPr="00923653">
        <w:t>Geld, Finanzanlagen, Immobilien etc.</w:t>
      </w:r>
    </w:p>
    <w:p w:rsidR="0049509B" w:rsidRPr="00923653" w:rsidRDefault="00BF044D" w:rsidP="00BF044D">
      <w:pPr>
        <w:pStyle w:val="KeinLeerraum"/>
        <w:rPr>
          <w:color w:val="5B9BD5" w:themeColor="accent1"/>
        </w:rPr>
      </w:pPr>
      <w:r w:rsidRPr="00923653">
        <w:rPr>
          <w:color w:val="5B9BD5" w:themeColor="accent1"/>
        </w:rPr>
        <w:t>Kulturelles Kapital:</w:t>
      </w:r>
      <w:r w:rsidR="0049509B" w:rsidRPr="00923653">
        <w:rPr>
          <w:color w:val="5B9BD5" w:themeColor="accent1"/>
        </w:rPr>
        <w:t xml:space="preserve"> </w:t>
      </w:r>
    </w:p>
    <w:p w:rsidR="0049509B" w:rsidRPr="00923653" w:rsidRDefault="00BF044D" w:rsidP="00BF044D">
      <w:pPr>
        <w:pStyle w:val="KeinLeerraum"/>
      </w:pPr>
      <w:r w:rsidRPr="00923653">
        <w:t>Bildung (</w:t>
      </w:r>
      <w:proofErr w:type="spellStart"/>
      <w:r w:rsidRPr="00923653">
        <w:rPr>
          <w:i/>
          <w:iCs/>
        </w:rPr>
        <w:t>inkorportiert</w:t>
      </w:r>
      <w:proofErr w:type="spellEnd"/>
      <w:r w:rsidRPr="00923653">
        <w:rPr>
          <w:i/>
          <w:iCs/>
        </w:rPr>
        <w:t xml:space="preserve">; </w:t>
      </w:r>
      <w:r w:rsidRPr="00923653">
        <w:t>Geschmack, Auftreten, Wissen etc.)</w:t>
      </w:r>
    </w:p>
    <w:p w:rsidR="00BF044D" w:rsidRPr="00923653" w:rsidRDefault="00BF044D" w:rsidP="00BF044D">
      <w:pPr>
        <w:pStyle w:val="KeinLeerraum"/>
      </w:pPr>
      <w:r w:rsidRPr="00923653">
        <w:t>kulturelle Güter (</w:t>
      </w:r>
      <w:r w:rsidRPr="00923653">
        <w:rPr>
          <w:i/>
          <w:iCs/>
        </w:rPr>
        <w:t>objektiviert;</w:t>
      </w:r>
      <w:r w:rsidR="0049509B" w:rsidRPr="00923653">
        <w:rPr>
          <w:i/>
          <w:iCs/>
        </w:rPr>
        <w:t xml:space="preserve"> </w:t>
      </w:r>
      <w:r w:rsidRPr="00923653">
        <w:t>Bücher, Gemälde etc.)</w:t>
      </w:r>
    </w:p>
    <w:p w:rsidR="00BF044D" w:rsidRPr="00923653" w:rsidRDefault="00BF044D" w:rsidP="00BF044D">
      <w:pPr>
        <w:pStyle w:val="KeinLeerraum"/>
      </w:pPr>
      <w:r w:rsidRPr="00923653">
        <w:t>Zeugnisse, Titel (</w:t>
      </w:r>
      <w:r w:rsidRPr="00923653">
        <w:rPr>
          <w:i/>
          <w:iCs/>
        </w:rPr>
        <w:t>institutionalisiert;</w:t>
      </w:r>
      <w:r w:rsidR="0049509B" w:rsidRPr="00923653">
        <w:rPr>
          <w:i/>
          <w:iCs/>
        </w:rPr>
        <w:t xml:space="preserve"> </w:t>
      </w:r>
      <w:r w:rsidRPr="00923653">
        <w:t>Lehre, Matura etc.)</w:t>
      </w:r>
    </w:p>
    <w:p w:rsidR="0049509B" w:rsidRPr="00923653" w:rsidRDefault="00BF044D" w:rsidP="00BF044D">
      <w:pPr>
        <w:pStyle w:val="KeinLeerraum"/>
        <w:rPr>
          <w:color w:val="5B9BD5" w:themeColor="accent1"/>
        </w:rPr>
      </w:pPr>
      <w:r w:rsidRPr="00923653">
        <w:rPr>
          <w:color w:val="5B9BD5" w:themeColor="accent1"/>
        </w:rPr>
        <w:t>Soziales Kapital:</w:t>
      </w:r>
    </w:p>
    <w:p w:rsidR="00BF044D" w:rsidRPr="00923653" w:rsidRDefault="00BF044D" w:rsidP="00BF044D">
      <w:pPr>
        <w:pStyle w:val="KeinLeerraum"/>
      </w:pPr>
      <w:r w:rsidRPr="00923653">
        <w:t>aus Zugehörigkeit zu einer Gruppe, „Kennen und Anerkennen“, Netzwerk</w:t>
      </w:r>
    </w:p>
    <w:p w:rsidR="0049509B" w:rsidRPr="00923653" w:rsidRDefault="00BF044D" w:rsidP="00BF044D">
      <w:pPr>
        <w:pStyle w:val="KeinLeerraum"/>
        <w:rPr>
          <w:color w:val="5B9BD5" w:themeColor="accent1"/>
        </w:rPr>
      </w:pPr>
      <w:r w:rsidRPr="00923653">
        <w:rPr>
          <w:color w:val="5B9BD5" w:themeColor="accent1"/>
        </w:rPr>
        <w:t>Symbolisches Kapital:</w:t>
      </w:r>
    </w:p>
    <w:p w:rsidR="00BF044D" w:rsidRPr="00923653" w:rsidRDefault="00BF044D" w:rsidP="00BF044D">
      <w:pPr>
        <w:pStyle w:val="KeinLeerraum"/>
      </w:pPr>
      <w:r w:rsidRPr="00923653">
        <w:t>Ansehen, Ehre</w:t>
      </w:r>
    </w:p>
    <w:p w:rsidR="00D31E78" w:rsidRPr="00923653" w:rsidRDefault="00D31E78" w:rsidP="005C2742">
      <w:pPr>
        <w:spacing w:after="0" w:line="240" w:lineRule="auto"/>
        <w:rPr>
          <w:rFonts w:ascii="Calibri" w:eastAsia="Times New Roman" w:hAnsi="Calibri" w:cs="Times New Roman"/>
          <w:b/>
          <w:color w:val="5B9BD5" w:themeColor="accent1"/>
          <w:sz w:val="24"/>
          <w:szCs w:val="24"/>
          <w:u w:val="single"/>
          <w:lang w:eastAsia="de-AT"/>
        </w:rPr>
      </w:pPr>
    </w:p>
    <w:p w:rsidR="00BF044D" w:rsidRPr="00923653"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 xml:space="preserve">Materielle Deprivation </w:t>
      </w:r>
    </w:p>
    <w:p w:rsidR="00BF044D" w:rsidRPr="00923653" w:rsidRDefault="00BF044D" w:rsidP="00BF044D">
      <w:pPr>
        <w:pStyle w:val="KeinLeerraum"/>
        <w:rPr>
          <w:color w:val="5B9BD5" w:themeColor="accent1"/>
        </w:rPr>
      </w:pPr>
      <w:r w:rsidRPr="00923653">
        <w:rPr>
          <w:color w:val="5B9BD5" w:themeColor="accent1"/>
        </w:rPr>
        <w:t>„Können uns nicht leisten…“ (mindestens 3 zutreffend):</w:t>
      </w:r>
    </w:p>
    <w:p w:rsidR="0049509B" w:rsidRPr="00923653" w:rsidRDefault="00BF044D" w:rsidP="00BF044D">
      <w:pPr>
        <w:pStyle w:val="KeinLeerraum"/>
        <w:numPr>
          <w:ilvl w:val="0"/>
          <w:numId w:val="2"/>
        </w:numPr>
        <w:ind w:left="142" w:hanging="142"/>
      </w:pPr>
      <w:r w:rsidRPr="00923653">
        <w:t xml:space="preserve">Regelmäßige Zahlungen in den letzten 12 Monaten rechtzeitig zu begleichen (Miete, Betriebskosten, Kreditrückzahlungen, etc.) </w:t>
      </w:r>
    </w:p>
    <w:p w:rsidR="0049509B" w:rsidRPr="00923653" w:rsidRDefault="00BF044D" w:rsidP="00BF044D">
      <w:pPr>
        <w:pStyle w:val="KeinLeerraum"/>
        <w:numPr>
          <w:ilvl w:val="0"/>
          <w:numId w:val="2"/>
        </w:numPr>
        <w:ind w:left="142" w:hanging="142"/>
      </w:pPr>
      <w:r w:rsidRPr="00923653">
        <w:t>Unerwartete Ausgaben bis zu 1.100€</w:t>
      </w:r>
    </w:p>
    <w:p w:rsidR="0049509B" w:rsidRPr="00923653" w:rsidRDefault="00BF044D" w:rsidP="00BF044D">
      <w:pPr>
        <w:pStyle w:val="KeinLeerraum"/>
        <w:numPr>
          <w:ilvl w:val="0"/>
          <w:numId w:val="2"/>
        </w:numPr>
        <w:ind w:left="142" w:hanging="142"/>
      </w:pPr>
      <w:r w:rsidRPr="00923653">
        <w:t>Die Wohnung angemessen warm zu halten</w:t>
      </w:r>
    </w:p>
    <w:p w:rsidR="0049509B" w:rsidRPr="00923653" w:rsidRDefault="00BF044D" w:rsidP="00BF044D">
      <w:pPr>
        <w:pStyle w:val="KeinLeerraum"/>
        <w:numPr>
          <w:ilvl w:val="0"/>
          <w:numId w:val="2"/>
        </w:numPr>
        <w:ind w:left="142" w:hanging="142"/>
      </w:pPr>
      <w:r w:rsidRPr="00923653">
        <w:t>Jeden zweiten Tag Fleisch, Fisch (oder entsprechende vegetarische Speisen) zu essen</w:t>
      </w:r>
    </w:p>
    <w:p w:rsidR="0049509B" w:rsidRPr="00923653" w:rsidRDefault="00BF044D" w:rsidP="00BF044D">
      <w:pPr>
        <w:pStyle w:val="KeinLeerraum"/>
        <w:numPr>
          <w:ilvl w:val="0"/>
          <w:numId w:val="2"/>
        </w:numPr>
        <w:ind w:left="142" w:hanging="142"/>
      </w:pPr>
      <w:r w:rsidRPr="00923653">
        <w:t>Einmal im Jahr auf Urlaub zu fahren</w:t>
      </w:r>
    </w:p>
    <w:p w:rsidR="0049509B" w:rsidRPr="00923653" w:rsidRDefault="00BF044D" w:rsidP="00BF044D">
      <w:pPr>
        <w:pStyle w:val="KeinLeerraum"/>
        <w:numPr>
          <w:ilvl w:val="0"/>
          <w:numId w:val="2"/>
        </w:numPr>
        <w:ind w:left="142" w:hanging="142"/>
      </w:pPr>
      <w:r w:rsidRPr="00923653">
        <w:t>Einen PKW</w:t>
      </w:r>
    </w:p>
    <w:p w:rsidR="0049509B" w:rsidRPr="00923653" w:rsidRDefault="00BF044D" w:rsidP="00BF044D">
      <w:pPr>
        <w:pStyle w:val="KeinLeerraum"/>
        <w:numPr>
          <w:ilvl w:val="0"/>
          <w:numId w:val="2"/>
        </w:numPr>
        <w:ind w:left="142" w:hanging="142"/>
      </w:pPr>
      <w:r w:rsidRPr="00923653">
        <w:t>Eine Waschmaschine</w:t>
      </w:r>
    </w:p>
    <w:p w:rsidR="0049509B" w:rsidRPr="00923653" w:rsidRDefault="00BF044D" w:rsidP="00BF044D">
      <w:pPr>
        <w:pStyle w:val="KeinLeerraum"/>
        <w:numPr>
          <w:ilvl w:val="0"/>
          <w:numId w:val="2"/>
        </w:numPr>
        <w:ind w:left="142" w:hanging="142"/>
      </w:pPr>
      <w:r w:rsidRPr="00923653">
        <w:t>Ein Fernsehgerät</w:t>
      </w:r>
    </w:p>
    <w:p w:rsidR="00BF044D" w:rsidRPr="00923653" w:rsidRDefault="00BF044D" w:rsidP="00BF044D">
      <w:pPr>
        <w:pStyle w:val="KeinLeerraum"/>
        <w:numPr>
          <w:ilvl w:val="0"/>
          <w:numId w:val="2"/>
        </w:numPr>
        <w:ind w:left="142" w:hanging="142"/>
      </w:pPr>
      <w:r w:rsidRPr="00923653">
        <w:t>Ein Telefon oder Handy</w:t>
      </w:r>
    </w:p>
    <w:p w:rsidR="00BF044D" w:rsidRPr="00923653" w:rsidRDefault="00BF044D" w:rsidP="00BF044D">
      <w:pPr>
        <w:pStyle w:val="KeinLeerraum"/>
        <w:rPr>
          <w:sz w:val="8"/>
          <w:szCs w:val="6"/>
        </w:rPr>
      </w:pPr>
    </w:p>
    <w:p w:rsidR="00BF044D" w:rsidRPr="00923653" w:rsidRDefault="00BF044D" w:rsidP="00BF044D">
      <w:pPr>
        <w:pStyle w:val="KeinLeerraum"/>
        <w:rPr>
          <w:color w:val="5B9BD5" w:themeColor="accent1"/>
        </w:rPr>
      </w:pPr>
      <w:r w:rsidRPr="00923653">
        <w:rPr>
          <w:color w:val="5B9BD5" w:themeColor="accent1"/>
        </w:rPr>
        <w:t>in Österreich: 786.000 Personen (9%)</w:t>
      </w:r>
    </w:p>
    <w:p w:rsidR="00D31E78" w:rsidRPr="00923653" w:rsidRDefault="00BF044D" w:rsidP="009C33FE">
      <w:pPr>
        <w:pStyle w:val="KeinLeerraum"/>
        <w:rPr>
          <w:sz w:val="20"/>
        </w:rPr>
      </w:pPr>
      <w:r w:rsidRPr="00923653">
        <w:rPr>
          <w:sz w:val="20"/>
        </w:rPr>
        <w:t>Quelle: Statistik Austria 2015 (Tabellenband EU-SILC 2014)</w:t>
      </w:r>
    </w:p>
    <w:p w:rsidR="00D31E78" w:rsidRPr="00923653" w:rsidRDefault="00D31E78" w:rsidP="005C2742">
      <w:pPr>
        <w:spacing w:after="0" w:line="240" w:lineRule="auto"/>
        <w:rPr>
          <w:rFonts w:ascii="Calibri" w:eastAsia="Times New Roman" w:hAnsi="Calibri" w:cs="Times New Roman"/>
          <w:b/>
          <w:color w:val="5B9BD5" w:themeColor="accent1"/>
          <w:sz w:val="10"/>
          <w:szCs w:val="10"/>
          <w:u w:val="single"/>
          <w:lang w:eastAsia="de-AT"/>
        </w:rPr>
      </w:pPr>
    </w:p>
    <w:p w:rsidR="00D31E78" w:rsidRPr="00923653"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 xml:space="preserve">Geschmack und Lebensstil </w:t>
      </w:r>
    </w:p>
    <w:p w:rsidR="00BF044D" w:rsidRPr="00923653" w:rsidRDefault="009C33FE" w:rsidP="00BF044D">
      <w:pPr>
        <w:pStyle w:val="KeinLeerraum"/>
      </w:pPr>
      <w:r w:rsidRPr="00923653">
        <w:t xml:space="preserve"> </w:t>
      </w:r>
      <w:r w:rsidR="00BF044D" w:rsidRPr="00923653">
        <w:t>„Wahrnehmungs-</w:t>
      </w:r>
      <w:r w:rsidR="00C07472" w:rsidRPr="00923653">
        <w:t xml:space="preserve"> </w:t>
      </w:r>
      <w:r w:rsidR="00BF044D" w:rsidRPr="00923653">
        <w:t xml:space="preserve">und Bewertungsschema“ </w:t>
      </w:r>
    </w:p>
    <w:p w:rsidR="00BF044D" w:rsidRPr="00923653" w:rsidRDefault="00BF044D" w:rsidP="00BF044D">
      <w:pPr>
        <w:pStyle w:val="KeinLeerraum"/>
      </w:pPr>
      <w:r w:rsidRPr="00923653">
        <w:t>„Fähigkeit, über ästhetische Qualitäten unmittelbar und intuitiv zu urteilen“</w:t>
      </w:r>
    </w:p>
    <w:p w:rsidR="0049509B" w:rsidRPr="00923653" w:rsidRDefault="00BF044D" w:rsidP="00BF044D">
      <w:pPr>
        <w:pStyle w:val="KeinLeerraum"/>
        <w:numPr>
          <w:ilvl w:val="0"/>
          <w:numId w:val="3"/>
        </w:numPr>
        <w:ind w:left="142" w:hanging="142"/>
      </w:pPr>
      <w:r w:rsidRPr="00923653">
        <w:t xml:space="preserve">Legitimer oder „guter Geschmack“: Verfeinerung und Distinktion </w:t>
      </w:r>
      <w:r w:rsidR="0049509B" w:rsidRPr="00923653">
        <w:t>des kulturellen Establishments</w:t>
      </w:r>
      <w:r w:rsidRPr="00923653">
        <w:t>, „Stilisierung des Lebens“ (Weber)</w:t>
      </w:r>
    </w:p>
    <w:p w:rsidR="0049509B" w:rsidRPr="00923653" w:rsidRDefault="00BF044D" w:rsidP="00BF044D">
      <w:pPr>
        <w:pStyle w:val="KeinLeerraum"/>
        <w:numPr>
          <w:ilvl w:val="0"/>
          <w:numId w:val="3"/>
        </w:numPr>
        <w:ind w:left="142" w:hanging="142"/>
      </w:pPr>
      <w:r w:rsidRPr="00923653">
        <w:t>Mittlerer Geschmack: „orthodoxe Kulturregeln“; Mittelklassen, Kleinbürgertum</w:t>
      </w:r>
    </w:p>
    <w:p w:rsidR="00BF044D" w:rsidRPr="00923653" w:rsidRDefault="00BF044D" w:rsidP="00BF044D">
      <w:pPr>
        <w:pStyle w:val="KeinLeerraum"/>
        <w:numPr>
          <w:ilvl w:val="0"/>
          <w:numId w:val="3"/>
        </w:numPr>
        <w:ind w:left="142" w:hanging="142"/>
      </w:pPr>
      <w:r w:rsidRPr="00923653">
        <w:t>Volkstümlicher oder „barbarischer“ Geschmack: Notwendigkeitsgeschmack, Funktionalität; Arbeiter und Bauern</w:t>
      </w:r>
    </w:p>
    <w:p w:rsidR="00D31E78" w:rsidRPr="00923653" w:rsidRDefault="00D31E78" w:rsidP="005C2742">
      <w:pPr>
        <w:spacing w:after="0" w:line="240" w:lineRule="auto"/>
        <w:rPr>
          <w:rFonts w:ascii="Calibri" w:eastAsia="Times New Roman" w:hAnsi="Calibri" w:cs="Times New Roman"/>
          <w:b/>
          <w:color w:val="5B9BD5" w:themeColor="accent1"/>
          <w:sz w:val="24"/>
          <w:szCs w:val="24"/>
          <w:u w:val="single"/>
          <w:lang w:eastAsia="de-AT"/>
        </w:rPr>
      </w:pPr>
    </w:p>
    <w:p w:rsidR="00BF044D" w:rsidRPr="00923653" w:rsidRDefault="00BF044D" w:rsidP="005C2742">
      <w:pPr>
        <w:spacing w:after="0" w:line="240" w:lineRule="auto"/>
        <w:rPr>
          <w:rFonts w:ascii="Calibri" w:eastAsia="Times New Roman" w:hAnsi="Calibri" w:cs="Times New Roman"/>
          <w:b/>
          <w:sz w:val="24"/>
          <w:szCs w:val="24"/>
          <w:u w:val="single"/>
          <w:lang w:eastAsia="de-AT"/>
        </w:rPr>
      </w:pPr>
      <w:r w:rsidRPr="00923653">
        <w:rPr>
          <w:rFonts w:ascii="Calibri" w:eastAsia="Times New Roman" w:hAnsi="Calibri" w:cs="Times New Roman"/>
          <w:b/>
          <w:sz w:val="24"/>
          <w:szCs w:val="24"/>
          <w:u w:val="single"/>
          <w:lang w:eastAsia="de-AT"/>
        </w:rPr>
        <w:t>Thorstein Veblen: Die Theorie der feinen Leute</w:t>
      </w:r>
      <w:r w:rsidR="00D31E78" w:rsidRPr="00923653">
        <w:rPr>
          <w:rFonts w:ascii="Calibri" w:eastAsia="Times New Roman" w:hAnsi="Calibri" w:cs="Times New Roman"/>
          <w:b/>
          <w:sz w:val="24"/>
          <w:szCs w:val="24"/>
          <w:u w:val="single"/>
          <w:lang w:eastAsia="de-AT"/>
        </w:rPr>
        <w:t xml:space="preserve"> </w:t>
      </w:r>
    </w:p>
    <w:p w:rsidR="00BF044D" w:rsidRPr="00923653" w:rsidRDefault="00BF044D" w:rsidP="00BF044D">
      <w:pPr>
        <w:pStyle w:val="KeinLeerraum"/>
        <w:rPr>
          <w:sz w:val="20"/>
        </w:rPr>
      </w:pPr>
      <w:r w:rsidRPr="00923653">
        <w:rPr>
          <w:sz w:val="20"/>
        </w:rPr>
        <w:t>Ehre und Prestige durch demonstrativen Müßiggang und Konsum –Kultivierung des Geschmacks und des Unterscheidungsvermögens:</w:t>
      </w:r>
      <w:r w:rsidR="00C07472" w:rsidRPr="00923653">
        <w:rPr>
          <w:sz w:val="20"/>
        </w:rPr>
        <w:t xml:space="preserve"> </w:t>
      </w:r>
      <w:r w:rsidRPr="00923653">
        <w:rPr>
          <w:sz w:val="20"/>
        </w:rPr>
        <w:t>„Ein Leben in Muße muss in angemessener Weise geführt werden; dieser Überzeugung verdanken wir unsere guten Manieren“</w:t>
      </w:r>
    </w:p>
    <w:p w:rsidR="00BF044D" w:rsidRPr="00923653" w:rsidRDefault="00BF044D" w:rsidP="00BF044D">
      <w:pPr>
        <w:pStyle w:val="KeinLeerraum"/>
        <w:rPr>
          <w:sz w:val="20"/>
        </w:rPr>
      </w:pPr>
      <w:r w:rsidRPr="00923653">
        <w:rPr>
          <w:sz w:val="20"/>
        </w:rPr>
        <w:lastRenderedPageBreak/>
        <w:t xml:space="preserve">Stellvertretende Muße der bürgerlichen </w:t>
      </w:r>
      <w:r w:rsidR="00C07472" w:rsidRPr="00923653">
        <w:rPr>
          <w:sz w:val="20"/>
        </w:rPr>
        <w:t>Ehefrau: „</w:t>
      </w:r>
      <w:r w:rsidRPr="00923653">
        <w:rPr>
          <w:sz w:val="20"/>
        </w:rPr>
        <w:t>… versteckt sich hinter … Haushalts-oder gesellschaftlichen Pflichten, die bei genauerem Hinsehen allerdings keinen oder (nur den) Zweck verfolgen zu beweisen, dass die Frau es nicht nötig hat, sich mit irgendeiner gewinnbringenden oder nützlichen Arbeit zu beschäftigen.“</w:t>
      </w:r>
    </w:p>
    <w:p w:rsidR="00DD6BF7" w:rsidRPr="00923653" w:rsidRDefault="00DD6BF7" w:rsidP="00BF044D">
      <w:pPr>
        <w:pStyle w:val="KeinLeerraum"/>
        <w:rPr>
          <w:sz w:val="6"/>
          <w:szCs w:val="6"/>
        </w:rPr>
      </w:pPr>
    </w:p>
    <w:p w:rsidR="009C33FE" w:rsidRPr="00923653" w:rsidRDefault="009C33FE" w:rsidP="005C2742">
      <w:pPr>
        <w:spacing w:after="0" w:line="240" w:lineRule="auto"/>
        <w:rPr>
          <w:rFonts w:ascii="Calibri" w:eastAsia="Times New Roman" w:hAnsi="Calibri" w:cs="Times New Roman"/>
          <w:b/>
          <w:color w:val="5B9BD5" w:themeColor="accent1"/>
          <w:sz w:val="24"/>
          <w:szCs w:val="24"/>
          <w:u w:val="single"/>
          <w:lang w:eastAsia="de-AT"/>
        </w:rPr>
      </w:pPr>
    </w:p>
    <w:p w:rsidR="00BF044D" w:rsidRPr="00923653"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 xml:space="preserve">Dynamik des sozialen </w:t>
      </w:r>
      <w:r w:rsidR="00C07472" w:rsidRPr="00923653">
        <w:rPr>
          <w:rFonts w:ascii="Calibri" w:eastAsia="Times New Roman" w:hAnsi="Calibri" w:cs="Times New Roman"/>
          <w:b/>
          <w:color w:val="5B9BD5" w:themeColor="accent1"/>
          <w:sz w:val="24"/>
          <w:szCs w:val="24"/>
          <w:u w:val="single"/>
          <w:lang w:eastAsia="de-AT"/>
        </w:rPr>
        <w:t>Raumes:</w:t>
      </w:r>
    </w:p>
    <w:p w:rsidR="00C07472" w:rsidRPr="00923653" w:rsidRDefault="00BF044D" w:rsidP="00BF044D">
      <w:pPr>
        <w:pStyle w:val="KeinLeerraum"/>
        <w:numPr>
          <w:ilvl w:val="0"/>
          <w:numId w:val="4"/>
        </w:numPr>
        <w:ind w:left="142" w:hanging="142"/>
      </w:pPr>
      <w:r w:rsidRPr="00923653">
        <w:t>Klassifikationen: Einteilungen, Zuordnungen zu Positionen</w:t>
      </w:r>
    </w:p>
    <w:p w:rsidR="00C07472" w:rsidRPr="00923653" w:rsidRDefault="00BF044D" w:rsidP="00BF044D">
      <w:pPr>
        <w:pStyle w:val="KeinLeerraum"/>
        <w:numPr>
          <w:ilvl w:val="0"/>
          <w:numId w:val="4"/>
        </w:numPr>
        <w:ind w:left="142" w:hanging="142"/>
      </w:pPr>
      <w:r w:rsidRPr="00923653">
        <w:t>kollektive Auf-und Abstiege</w:t>
      </w:r>
    </w:p>
    <w:p w:rsidR="00C07472" w:rsidRPr="00923653" w:rsidRDefault="00BF044D" w:rsidP="00BF044D">
      <w:pPr>
        <w:pStyle w:val="KeinLeerraum"/>
        <w:numPr>
          <w:ilvl w:val="0"/>
          <w:numId w:val="4"/>
        </w:numPr>
        <w:ind w:left="142" w:hanging="142"/>
      </w:pPr>
      <w:r w:rsidRPr="00923653">
        <w:t>Geschmack: aus Not und Zwang oder aus Freiheit und Luxus geboren</w:t>
      </w:r>
    </w:p>
    <w:p w:rsidR="00C07472" w:rsidRPr="00923653" w:rsidRDefault="00BF044D" w:rsidP="00BF044D">
      <w:pPr>
        <w:pStyle w:val="KeinLeerraum"/>
        <w:numPr>
          <w:ilvl w:val="0"/>
          <w:numId w:val="4"/>
        </w:numPr>
        <w:ind w:left="142" w:hanging="142"/>
      </w:pPr>
      <w:r w:rsidRPr="00923653">
        <w:t>Distinktion: Abgrenzung gegenüber anderen; Stilisierung des Lebens (bewusst oder unbewusst im Vergleich zu anderen); „die herrschende Kultur zeichnet sich immer durch einen Abstand aus“</w:t>
      </w:r>
    </w:p>
    <w:p w:rsidR="00C07472" w:rsidRPr="00923653" w:rsidRDefault="00BF044D" w:rsidP="00BF044D">
      <w:pPr>
        <w:pStyle w:val="KeinLeerraum"/>
        <w:numPr>
          <w:ilvl w:val="0"/>
          <w:numId w:val="4"/>
        </w:numPr>
        <w:ind w:left="142" w:hanging="142"/>
      </w:pPr>
      <w:r w:rsidRPr="00923653">
        <w:t>Kampf: um Positionen, um Klassifikationen, um Bewertungen, um „Umrechnungskurse“ der Kapitalsorten etc.; Verteilungen = vorübergehender Stand der Kräfteverhältnisse</w:t>
      </w:r>
    </w:p>
    <w:p w:rsidR="00BF044D" w:rsidRPr="00923653" w:rsidRDefault="00BF044D" w:rsidP="00BF044D">
      <w:pPr>
        <w:pStyle w:val="KeinLeerraum"/>
        <w:numPr>
          <w:ilvl w:val="0"/>
          <w:numId w:val="4"/>
        </w:numPr>
        <w:ind w:left="142" w:hanging="142"/>
      </w:pPr>
      <w:r w:rsidRPr="00923653">
        <w:t>Auflehnung gegen „positionsbedingtes Elend“</w:t>
      </w:r>
    </w:p>
    <w:p w:rsidR="00BF044D" w:rsidRPr="00923653" w:rsidRDefault="00BF044D" w:rsidP="00BF044D">
      <w:pPr>
        <w:pStyle w:val="KeinLeerraum"/>
        <w:rPr>
          <w:sz w:val="10"/>
          <w:szCs w:val="10"/>
        </w:rPr>
      </w:pPr>
    </w:p>
    <w:p w:rsidR="00BF044D" w:rsidRPr="00923653"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 xml:space="preserve">Pierre Bourdieus zentrale Fragestellung: </w:t>
      </w:r>
    </w:p>
    <w:p w:rsidR="00BF044D" w:rsidRPr="00923653" w:rsidRDefault="00BF044D" w:rsidP="00BF044D">
      <w:pPr>
        <w:pStyle w:val="KeinLeerraum"/>
      </w:pPr>
      <w:r w:rsidRPr="00923653">
        <w:t>Wie ist es möglich, dass die Praktiken der Individuen</w:t>
      </w:r>
      <w:r w:rsidR="00C07472" w:rsidRPr="00923653">
        <w:t xml:space="preserve"> </w:t>
      </w:r>
      <w:r w:rsidRPr="00923653">
        <w:t>„ohne jede strategische Berechnung und bewusste Bezugnahme auf eine Norm objektiv aufeinander abgestimmt und ohne jede direkte Interaktion und damit erst recht ohne ausdrückliche Abstimmung einander angepasst“ sind?</w:t>
      </w:r>
    </w:p>
    <w:p w:rsidR="00D31E78" w:rsidRPr="00923653" w:rsidRDefault="00BF044D" w:rsidP="009C33FE">
      <w:pPr>
        <w:pStyle w:val="KeinLeerraum"/>
        <w:rPr>
          <w:sz w:val="20"/>
        </w:rPr>
      </w:pPr>
      <w:r w:rsidRPr="00923653">
        <w:rPr>
          <w:sz w:val="20"/>
        </w:rPr>
        <w:t>(Barlösius2011: 29)</w:t>
      </w:r>
    </w:p>
    <w:p w:rsidR="00D31E78" w:rsidRPr="00923653" w:rsidRDefault="00D31E78" w:rsidP="005C2742">
      <w:pPr>
        <w:spacing w:after="0" w:line="240" w:lineRule="auto"/>
        <w:rPr>
          <w:rFonts w:ascii="Calibri" w:eastAsia="Times New Roman" w:hAnsi="Calibri" w:cs="Times New Roman"/>
          <w:b/>
          <w:color w:val="5B9BD5" w:themeColor="accent1"/>
          <w:sz w:val="10"/>
          <w:szCs w:val="10"/>
          <w:u w:val="single"/>
          <w:lang w:eastAsia="de-AT"/>
        </w:rPr>
      </w:pPr>
    </w:p>
    <w:p w:rsidR="00D31E78" w:rsidRPr="00923653" w:rsidRDefault="00BF044D"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Klassenspez</w:t>
      </w:r>
      <w:r w:rsidR="00C07472" w:rsidRPr="00923653">
        <w:rPr>
          <w:rFonts w:ascii="Calibri" w:eastAsia="Times New Roman" w:hAnsi="Calibri" w:cs="Times New Roman"/>
          <w:b/>
          <w:color w:val="5B9BD5" w:themeColor="accent1"/>
          <w:sz w:val="24"/>
          <w:szCs w:val="24"/>
          <w:u w:val="single"/>
          <w:lang w:eastAsia="de-AT"/>
        </w:rPr>
        <w:t>ifische Dispositionen: Habitus</w:t>
      </w:r>
    </w:p>
    <w:p w:rsidR="00C07472" w:rsidRPr="00923653" w:rsidRDefault="00BF044D" w:rsidP="00BF044D">
      <w:pPr>
        <w:pStyle w:val="KeinLeerraum"/>
        <w:numPr>
          <w:ilvl w:val="0"/>
          <w:numId w:val="5"/>
        </w:numPr>
        <w:ind w:left="142" w:hanging="142"/>
      </w:pPr>
      <w:r w:rsidRPr="00923653">
        <w:t xml:space="preserve">Habitus = Gewohnheiten des Denkens, Fühlens und Handelns (Norbert Elias); äußere und innere Haltung, Benehmen, Sprechweise… </w:t>
      </w:r>
    </w:p>
    <w:p w:rsidR="00C07472" w:rsidRPr="00923653" w:rsidRDefault="00BF044D" w:rsidP="00BF044D">
      <w:pPr>
        <w:pStyle w:val="KeinLeerraum"/>
        <w:numPr>
          <w:ilvl w:val="0"/>
          <w:numId w:val="5"/>
        </w:numPr>
        <w:ind w:left="142" w:hanging="142"/>
      </w:pPr>
      <w:r w:rsidRPr="00923653">
        <w:t xml:space="preserve">= „… System verinnerlichter Muster, die es erlauben, alle typischen Gedanken, Wahrnehmungen und Handlungen einer Kultur zu erzeugen…“ (Bourdieu 1970, S. 143) </w:t>
      </w:r>
    </w:p>
    <w:p w:rsidR="00C07472" w:rsidRPr="00923653" w:rsidRDefault="00BF044D" w:rsidP="00BF044D">
      <w:pPr>
        <w:pStyle w:val="KeinLeerraum"/>
        <w:numPr>
          <w:ilvl w:val="0"/>
          <w:numId w:val="5"/>
        </w:numPr>
        <w:ind w:left="142" w:hanging="142"/>
      </w:pPr>
      <w:r w:rsidRPr="00923653">
        <w:t>Habitus als Wahrnehmungs-, Denk-und Handlungsmuster, das alltägliche Praxis ermöglicht und begrenzt</w:t>
      </w:r>
    </w:p>
    <w:p w:rsidR="009C33FE" w:rsidRDefault="00BF044D" w:rsidP="005C2742">
      <w:pPr>
        <w:pStyle w:val="KeinLeerraum"/>
        <w:numPr>
          <w:ilvl w:val="0"/>
          <w:numId w:val="5"/>
        </w:numPr>
        <w:ind w:left="142" w:hanging="142"/>
      </w:pPr>
      <w:r w:rsidRPr="00923653">
        <w:t>unterschiedliche Existenzbedingungen bringen unterschiedliche Formen des Habitus hervor (distinguierter Habitus; aufstrebender, prätentiöser Habitus; Habitus der Notwendigkeit…)</w:t>
      </w:r>
    </w:p>
    <w:p w:rsidR="007D6E98" w:rsidRPr="007D6E98" w:rsidRDefault="007D6E98" w:rsidP="007D6E98">
      <w:pPr>
        <w:pStyle w:val="KeinLeerraum"/>
        <w:ind w:left="142"/>
      </w:pPr>
    </w:p>
    <w:p w:rsidR="0049509B" w:rsidRPr="00923653" w:rsidRDefault="0049509B"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 xml:space="preserve">Pierre Bourdieu: Habitus </w:t>
      </w:r>
    </w:p>
    <w:p w:rsidR="0049509B" w:rsidRPr="00923653" w:rsidRDefault="0049509B" w:rsidP="00C07472">
      <w:pPr>
        <w:pStyle w:val="KeinLeerraum"/>
        <w:rPr>
          <w:color w:val="5B9BD5" w:themeColor="accent1"/>
        </w:rPr>
      </w:pPr>
      <w:r w:rsidRPr="00923653">
        <w:rPr>
          <w:color w:val="5B9BD5" w:themeColor="accent1"/>
        </w:rPr>
        <w:t>„… das Körper gewordene Soziale“, „</w:t>
      </w:r>
      <w:proofErr w:type="spellStart"/>
      <w:r w:rsidRPr="00923653">
        <w:rPr>
          <w:color w:val="5B9BD5" w:themeColor="accent1"/>
        </w:rPr>
        <w:t>Abgestimmtheit</w:t>
      </w:r>
      <w:proofErr w:type="spellEnd"/>
      <w:r w:rsidR="00C07472" w:rsidRPr="00923653">
        <w:rPr>
          <w:color w:val="5B9BD5" w:themeColor="accent1"/>
        </w:rPr>
        <w:t xml:space="preserve"> </w:t>
      </w:r>
      <w:r w:rsidRPr="00923653">
        <w:rPr>
          <w:color w:val="5B9BD5" w:themeColor="accent1"/>
        </w:rPr>
        <w:t>ohne Abstimmung“</w:t>
      </w:r>
    </w:p>
    <w:p w:rsidR="00C07472" w:rsidRPr="00923653" w:rsidRDefault="0049509B" w:rsidP="0049509B">
      <w:pPr>
        <w:pStyle w:val="KeinLeerraum"/>
        <w:numPr>
          <w:ilvl w:val="0"/>
          <w:numId w:val="7"/>
        </w:numPr>
        <w:ind w:left="142" w:hanging="142"/>
      </w:pPr>
      <w:r w:rsidRPr="00923653">
        <w:t xml:space="preserve">„… </w:t>
      </w:r>
      <w:r w:rsidRPr="00923653">
        <w:rPr>
          <w:i/>
        </w:rPr>
        <w:t>unbegrenzte Fähigkeit, in völliger (kontrollierter) Frei</w:t>
      </w:r>
      <w:r w:rsidR="00C07472" w:rsidRPr="00923653">
        <w:rPr>
          <w:i/>
        </w:rPr>
        <w:t xml:space="preserve">heit … Gedanken, Wahrnehmungen, </w:t>
      </w:r>
      <w:r w:rsidRPr="00923653">
        <w:rPr>
          <w:i/>
        </w:rPr>
        <w:t>Äußerungen, Handlungen zu erzeugen, die stets in den historischen und sozialen Grenzen seiner Erzeugung liegen</w:t>
      </w:r>
      <w:r w:rsidRPr="00923653">
        <w:t>…“ (Bourdieu 1987, S. 103)</w:t>
      </w:r>
    </w:p>
    <w:p w:rsidR="0049509B" w:rsidRPr="00923653" w:rsidRDefault="0049509B" w:rsidP="0049509B">
      <w:pPr>
        <w:pStyle w:val="KeinLeerraum"/>
        <w:numPr>
          <w:ilvl w:val="0"/>
          <w:numId w:val="7"/>
        </w:numPr>
        <w:ind w:left="142" w:hanging="142"/>
        <w:rPr>
          <w:sz w:val="20"/>
        </w:rPr>
      </w:pPr>
      <w:r w:rsidRPr="00923653">
        <w:t xml:space="preserve">Habitus als generatives Prinzip der Praxisformen: </w:t>
      </w:r>
      <w:r w:rsidRPr="00923653">
        <w:rPr>
          <w:i/>
          <w:iCs/>
        </w:rPr>
        <w:t xml:space="preserve">„Der Habitus erzeugt Vorstellungen und Handlungsweisen, die stets genauer, als es den Anschein haben mag, den objektiven Umständen entsprechen, denen sie entstammen.“ </w:t>
      </w:r>
      <w:r w:rsidRPr="00923653">
        <w:t>(Bourdieu 1979, S. 378)</w:t>
      </w:r>
    </w:p>
    <w:p w:rsidR="00C07472" w:rsidRPr="00923653" w:rsidRDefault="00C07472" w:rsidP="0049509B">
      <w:pPr>
        <w:pStyle w:val="KeinLeerraum"/>
        <w:rPr>
          <w:sz w:val="10"/>
          <w:szCs w:val="10"/>
        </w:rPr>
      </w:pPr>
    </w:p>
    <w:p w:rsidR="0049509B" w:rsidRPr="00923653" w:rsidRDefault="0049509B" w:rsidP="005C2742">
      <w:pPr>
        <w:spacing w:after="0" w:line="240" w:lineRule="auto"/>
        <w:rPr>
          <w:rFonts w:ascii="Calibri" w:eastAsia="Times New Roman" w:hAnsi="Calibri" w:cs="Times New Roman"/>
          <w:b/>
          <w:sz w:val="24"/>
          <w:szCs w:val="24"/>
          <w:u w:val="single"/>
          <w:lang w:eastAsia="de-AT"/>
        </w:rPr>
      </w:pPr>
      <w:r w:rsidRPr="00923653">
        <w:rPr>
          <w:rFonts w:ascii="Calibri" w:eastAsia="Times New Roman" w:hAnsi="Calibri" w:cs="Times New Roman"/>
          <w:b/>
          <w:sz w:val="24"/>
          <w:szCs w:val="24"/>
          <w:u w:val="single"/>
          <w:lang w:eastAsia="de-AT"/>
        </w:rPr>
        <w:t xml:space="preserve">Habitus der Beherrschten </w:t>
      </w:r>
    </w:p>
    <w:p w:rsidR="0049509B" w:rsidRPr="00923653" w:rsidRDefault="0049509B" w:rsidP="0049509B">
      <w:pPr>
        <w:pStyle w:val="KeinLeerraum"/>
      </w:pPr>
      <w:r w:rsidRPr="00923653">
        <w:t>„… tendieren die Beherrschten zunächst einmal dahin, sich das zuzuschreiben, was ihnen qua Distribution ohnehin zugewiesen ist, das abzuwehren, was ihnen ohnehin verwehrt ist („Das ist nichts für uns“), sich damit abzugeben, was ihnen aufgezwungen wird, ihre Hoffnungen auf das Maß ihrer Chancen zurechtzustutzen, sich so zu definieren, wie die herrschende Ordnung sie definiert, (…) sich mit dem zu bescheiden, was ihnen ohnehin zukommt …“ (Bourdieu 1987, S. 735)</w:t>
      </w:r>
    </w:p>
    <w:p w:rsidR="00C07472" w:rsidRPr="00923653" w:rsidRDefault="00C07472" w:rsidP="0049509B">
      <w:pPr>
        <w:pStyle w:val="KeinLeerraum"/>
        <w:rPr>
          <w:b/>
          <w:color w:val="5B9BD5" w:themeColor="accent1"/>
          <w:sz w:val="8"/>
          <w:szCs w:val="6"/>
        </w:rPr>
      </w:pPr>
    </w:p>
    <w:p w:rsidR="0049509B" w:rsidRPr="00923653" w:rsidRDefault="00C07472" w:rsidP="0049509B">
      <w:pPr>
        <w:pStyle w:val="KeinLeerraum"/>
        <w:rPr>
          <w:b/>
          <w:color w:val="5B9BD5" w:themeColor="accent1"/>
        </w:rPr>
      </w:pPr>
      <w:r w:rsidRPr="00923653">
        <w:rPr>
          <w:b/>
          <w:color w:val="5B9BD5" w:themeColor="accent1"/>
        </w:rPr>
        <w:sym w:font="Wingdings" w:char="F0E0"/>
      </w:r>
      <w:r w:rsidR="0049509B" w:rsidRPr="00923653">
        <w:rPr>
          <w:b/>
          <w:color w:val="5B9BD5" w:themeColor="accent1"/>
        </w:rPr>
        <w:t>Stabilität sozialer Ungleichheit</w:t>
      </w:r>
    </w:p>
    <w:p w:rsidR="0049509B" w:rsidRPr="00923653" w:rsidRDefault="0049509B" w:rsidP="0049509B">
      <w:pPr>
        <w:pStyle w:val="KeinLeerraum"/>
        <w:rPr>
          <w:sz w:val="8"/>
          <w:szCs w:val="6"/>
        </w:rPr>
      </w:pPr>
    </w:p>
    <w:p w:rsidR="00D31E78" w:rsidRPr="00923653" w:rsidRDefault="0049509B" w:rsidP="0049509B">
      <w:pPr>
        <w:pStyle w:val="KeinLeerraum"/>
      </w:pPr>
      <w:r w:rsidRPr="00923653">
        <w:t>Mangelnde Wahrnehmung: „Wir können alles erreichen, was wir wollen, weil wir das wollen, was wir erreichen können.“</w:t>
      </w:r>
    </w:p>
    <w:p w:rsidR="00C07472" w:rsidRPr="00923653" w:rsidRDefault="00C07472" w:rsidP="0049509B">
      <w:pPr>
        <w:pStyle w:val="KeinLeerraum"/>
      </w:pPr>
    </w:p>
    <w:p w:rsidR="0049509B" w:rsidRPr="00923653" w:rsidRDefault="0049509B" w:rsidP="005C2742">
      <w:pPr>
        <w:spacing w:after="0" w:line="240" w:lineRule="auto"/>
        <w:rPr>
          <w:rFonts w:ascii="Calibri" w:eastAsia="Times New Roman" w:hAnsi="Calibri" w:cs="Times New Roman"/>
          <w:b/>
          <w:color w:val="5B9BD5" w:themeColor="accent1"/>
          <w:sz w:val="24"/>
          <w:szCs w:val="24"/>
          <w:u w:val="single"/>
          <w:lang w:eastAsia="de-AT"/>
        </w:rPr>
      </w:pPr>
      <w:r w:rsidRPr="00923653">
        <w:rPr>
          <w:rFonts w:ascii="Calibri" w:eastAsia="Times New Roman" w:hAnsi="Calibri" w:cs="Times New Roman"/>
          <w:b/>
          <w:color w:val="5B9BD5" w:themeColor="accent1"/>
          <w:sz w:val="24"/>
          <w:szCs w:val="24"/>
          <w:u w:val="single"/>
          <w:lang w:eastAsia="de-AT"/>
        </w:rPr>
        <w:t>Sozialstruktur –Habitus -Lebensstil</w:t>
      </w:r>
    </w:p>
    <w:p w:rsidR="0049509B" w:rsidRPr="00923653" w:rsidRDefault="0049509B" w:rsidP="0049509B">
      <w:pPr>
        <w:pStyle w:val="KeinLeerraum"/>
        <w:rPr>
          <w:color w:val="5B9BD5" w:themeColor="accent1"/>
        </w:rPr>
      </w:pPr>
      <w:r w:rsidRPr="00923653">
        <w:rPr>
          <w:color w:val="5B9BD5" w:themeColor="accent1"/>
        </w:rPr>
        <w:t>kein geschlossener Kreislauf, keine vollständige Reproduktion</w:t>
      </w:r>
    </w:p>
    <w:p w:rsidR="00C07472" w:rsidRPr="00923653" w:rsidRDefault="0049509B" w:rsidP="0049509B">
      <w:pPr>
        <w:pStyle w:val="KeinLeerraum"/>
        <w:numPr>
          <w:ilvl w:val="0"/>
          <w:numId w:val="8"/>
        </w:numPr>
        <w:ind w:left="142" w:hanging="142"/>
      </w:pPr>
      <w:r w:rsidRPr="00923653">
        <w:t>„offenes Dispositionssystem“ –dauerhaft, aber nicht unveränderlich</w:t>
      </w:r>
    </w:p>
    <w:p w:rsidR="00C07472" w:rsidRPr="00923653" w:rsidRDefault="0049509B" w:rsidP="0049509B">
      <w:pPr>
        <w:pStyle w:val="KeinLeerraum"/>
        <w:numPr>
          <w:ilvl w:val="0"/>
          <w:numId w:val="8"/>
        </w:numPr>
        <w:ind w:left="142" w:hanging="142"/>
      </w:pPr>
      <w:r w:rsidRPr="00923653">
        <w:t>ständiger Prozess der Abstimmung, Annäherungen, Korrekturen</w:t>
      </w:r>
    </w:p>
    <w:p w:rsidR="00C07472" w:rsidRPr="00923653" w:rsidRDefault="0049509B" w:rsidP="0049509B">
      <w:pPr>
        <w:pStyle w:val="KeinLeerraum"/>
        <w:numPr>
          <w:ilvl w:val="0"/>
          <w:numId w:val="8"/>
        </w:numPr>
        <w:ind w:left="142" w:hanging="142"/>
      </w:pPr>
      <w:r w:rsidRPr="00923653">
        <w:lastRenderedPageBreak/>
        <w:t>Habitus in unaufhörlichem Wandel im Lebensverlauf begriffen</w:t>
      </w:r>
    </w:p>
    <w:p w:rsidR="00C07472" w:rsidRPr="00923653" w:rsidRDefault="0049509B" w:rsidP="0049509B">
      <w:pPr>
        <w:pStyle w:val="KeinLeerraum"/>
        <w:numPr>
          <w:ilvl w:val="0"/>
          <w:numId w:val="8"/>
        </w:numPr>
        <w:ind w:left="142" w:hanging="142"/>
      </w:pPr>
      <w:r w:rsidRPr="00923653">
        <w:t xml:space="preserve">Gespaltenheit des Habitus -er wird vom gesellschaftlichen Wandel überholt </w:t>
      </w:r>
      <w:r w:rsidR="00C07472" w:rsidRPr="00923653">
        <w:sym w:font="Wingdings" w:char="F0E0"/>
      </w:r>
      <w:r w:rsidR="00C07472" w:rsidRPr="00923653">
        <w:t xml:space="preserve"> </w:t>
      </w:r>
      <w:r w:rsidRPr="00923653">
        <w:t xml:space="preserve">Dispositionen und Selbstanforderungen neuen gesellschaftlichen Strukturen unangemessen </w:t>
      </w:r>
      <w:r w:rsidR="00C07472" w:rsidRPr="00923653">
        <w:sym w:font="Wingdings" w:char="F0E0"/>
      </w:r>
      <w:r w:rsidR="00C07472" w:rsidRPr="00923653">
        <w:t xml:space="preserve"> </w:t>
      </w:r>
      <w:r w:rsidRPr="00923653">
        <w:t>innere Zerrissenheit</w:t>
      </w:r>
    </w:p>
    <w:p w:rsidR="0049509B" w:rsidRPr="00923653" w:rsidRDefault="0049509B" w:rsidP="0049509B">
      <w:pPr>
        <w:pStyle w:val="KeinLeerraum"/>
        <w:numPr>
          <w:ilvl w:val="0"/>
          <w:numId w:val="8"/>
        </w:numPr>
        <w:ind w:left="142" w:hanging="142"/>
      </w:pPr>
      <w:r w:rsidRPr="00923653">
        <w:t>Bewusstwerdung und „Sozioanalyse“: Selbstverständlichkeiten in Frage gestellt –</w:t>
      </w:r>
      <w:r w:rsidR="00C07472" w:rsidRPr="00923653">
        <w:t xml:space="preserve"> </w:t>
      </w:r>
      <w:r w:rsidRPr="00923653">
        <w:t>Bewusstseinsbildung oder Aufklärung</w:t>
      </w:r>
    </w:p>
    <w:p w:rsidR="0049509B" w:rsidRPr="0049509B" w:rsidRDefault="0049509B" w:rsidP="0049509B">
      <w:pPr>
        <w:pStyle w:val="KeinLeerraum"/>
      </w:pPr>
    </w:p>
    <w:p w:rsidR="0049509B" w:rsidRPr="0049509B" w:rsidRDefault="0049509B" w:rsidP="0049509B"/>
    <w:sectPr w:rsidR="0049509B" w:rsidRPr="004950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5655"/>
    <w:multiLevelType w:val="hybridMultilevel"/>
    <w:tmpl w:val="8C003E9A"/>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5234B9F"/>
    <w:multiLevelType w:val="hybridMultilevel"/>
    <w:tmpl w:val="0824CC50"/>
    <w:lvl w:ilvl="0" w:tplc="B81ECD08">
      <w:start w:val="1"/>
      <w:numFmt w:val="bullet"/>
      <w:lvlText w:val=""/>
      <w:lvlJc w:val="left"/>
      <w:pPr>
        <w:ind w:left="720" w:hanging="360"/>
      </w:pPr>
      <w:rPr>
        <w:rFonts w:ascii="Wingdings" w:hAnsi="Wingdings"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D2A2956"/>
    <w:multiLevelType w:val="hybridMultilevel"/>
    <w:tmpl w:val="E1E0DA50"/>
    <w:lvl w:ilvl="0" w:tplc="B81ECD08">
      <w:start w:val="1"/>
      <w:numFmt w:val="bullet"/>
      <w:lvlText w:val=""/>
      <w:lvlJc w:val="left"/>
      <w:pPr>
        <w:ind w:left="720" w:hanging="360"/>
      </w:pPr>
      <w:rPr>
        <w:rFonts w:ascii="Wingdings" w:hAnsi="Wingdings"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3943684"/>
    <w:multiLevelType w:val="hybridMultilevel"/>
    <w:tmpl w:val="50C8828E"/>
    <w:lvl w:ilvl="0" w:tplc="B81ECD08">
      <w:start w:val="1"/>
      <w:numFmt w:val="bullet"/>
      <w:lvlText w:val=""/>
      <w:lvlJc w:val="left"/>
      <w:pPr>
        <w:ind w:left="720" w:hanging="360"/>
      </w:pPr>
      <w:rPr>
        <w:rFonts w:ascii="Wingdings" w:hAnsi="Wingdings"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66550AB"/>
    <w:multiLevelType w:val="hybridMultilevel"/>
    <w:tmpl w:val="E8A00688"/>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0480035"/>
    <w:multiLevelType w:val="hybridMultilevel"/>
    <w:tmpl w:val="2F320858"/>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7171D1A"/>
    <w:multiLevelType w:val="hybridMultilevel"/>
    <w:tmpl w:val="59CA35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C135A51"/>
    <w:multiLevelType w:val="hybridMultilevel"/>
    <w:tmpl w:val="2F9245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65B22DB1"/>
    <w:multiLevelType w:val="hybridMultilevel"/>
    <w:tmpl w:val="1B90E934"/>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68850BC6"/>
    <w:multiLevelType w:val="hybridMultilevel"/>
    <w:tmpl w:val="B11E7B16"/>
    <w:lvl w:ilvl="0" w:tplc="D75EC832">
      <w:start w:val="1"/>
      <w:numFmt w:val="decimal"/>
      <w:lvlText w:val="%1)"/>
      <w:lvlJc w:val="left"/>
      <w:pPr>
        <w:ind w:left="1770" w:hanging="360"/>
      </w:pPr>
      <w:rPr>
        <w:rFonts w:hint="default"/>
      </w:rPr>
    </w:lvl>
    <w:lvl w:ilvl="1" w:tplc="0C070019" w:tentative="1">
      <w:start w:val="1"/>
      <w:numFmt w:val="lowerLetter"/>
      <w:lvlText w:val="%2."/>
      <w:lvlJc w:val="left"/>
      <w:pPr>
        <w:ind w:left="2490" w:hanging="360"/>
      </w:pPr>
    </w:lvl>
    <w:lvl w:ilvl="2" w:tplc="0C07001B" w:tentative="1">
      <w:start w:val="1"/>
      <w:numFmt w:val="lowerRoman"/>
      <w:lvlText w:val="%3."/>
      <w:lvlJc w:val="right"/>
      <w:pPr>
        <w:ind w:left="3210" w:hanging="180"/>
      </w:pPr>
    </w:lvl>
    <w:lvl w:ilvl="3" w:tplc="0C07000F" w:tentative="1">
      <w:start w:val="1"/>
      <w:numFmt w:val="decimal"/>
      <w:lvlText w:val="%4."/>
      <w:lvlJc w:val="left"/>
      <w:pPr>
        <w:ind w:left="3930" w:hanging="360"/>
      </w:pPr>
    </w:lvl>
    <w:lvl w:ilvl="4" w:tplc="0C070019" w:tentative="1">
      <w:start w:val="1"/>
      <w:numFmt w:val="lowerLetter"/>
      <w:lvlText w:val="%5."/>
      <w:lvlJc w:val="left"/>
      <w:pPr>
        <w:ind w:left="4650" w:hanging="360"/>
      </w:pPr>
    </w:lvl>
    <w:lvl w:ilvl="5" w:tplc="0C07001B" w:tentative="1">
      <w:start w:val="1"/>
      <w:numFmt w:val="lowerRoman"/>
      <w:lvlText w:val="%6."/>
      <w:lvlJc w:val="right"/>
      <w:pPr>
        <w:ind w:left="5370" w:hanging="180"/>
      </w:pPr>
    </w:lvl>
    <w:lvl w:ilvl="6" w:tplc="0C07000F" w:tentative="1">
      <w:start w:val="1"/>
      <w:numFmt w:val="decimal"/>
      <w:lvlText w:val="%7."/>
      <w:lvlJc w:val="left"/>
      <w:pPr>
        <w:ind w:left="6090" w:hanging="360"/>
      </w:pPr>
    </w:lvl>
    <w:lvl w:ilvl="7" w:tplc="0C070019" w:tentative="1">
      <w:start w:val="1"/>
      <w:numFmt w:val="lowerLetter"/>
      <w:lvlText w:val="%8."/>
      <w:lvlJc w:val="left"/>
      <w:pPr>
        <w:ind w:left="6810" w:hanging="360"/>
      </w:pPr>
    </w:lvl>
    <w:lvl w:ilvl="8" w:tplc="0C07001B" w:tentative="1">
      <w:start w:val="1"/>
      <w:numFmt w:val="lowerRoman"/>
      <w:lvlText w:val="%9."/>
      <w:lvlJc w:val="right"/>
      <w:pPr>
        <w:ind w:left="7530" w:hanging="180"/>
      </w:pPr>
    </w:lvl>
  </w:abstractNum>
  <w:abstractNum w:abstractNumId="10" w15:restartNumberingAfterBreak="0">
    <w:nsid w:val="7D810BC4"/>
    <w:multiLevelType w:val="hybridMultilevel"/>
    <w:tmpl w:val="EBC6A0F6"/>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0"/>
  </w:num>
  <w:num w:numId="2">
    <w:abstractNumId w:val="8"/>
  </w:num>
  <w:num w:numId="3">
    <w:abstractNumId w:val="0"/>
  </w:num>
  <w:num w:numId="4">
    <w:abstractNumId w:val="4"/>
  </w:num>
  <w:num w:numId="5">
    <w:abstractNumId w:val="5"/>
  </w:num>
  <w:num w:numId="6">
    <w:abstractNumId w:val="1"/>
  </w:num>
  <w:num w:numId="7">
    <w:abstractNumId w:val="3"/>
  </w:num>
  <w:num w:numId="8">
    <w:abstractNumId w:val="2"/>
  </w:num>
  <w:num w:numId="9">
    <w:abstractNumId w:val="9"/>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44D"/>
    <w:rsid w:val="003A170B"/>
    <w:rsid w:val="0049509B"/>
    <w:rsid w:val="005C2742"/>
    <w:rsid w:val="006C7A34"/>
    <w:rsid w:val="006F5D50"/>
    <w:rsid w:val="007D6E98"/>
    <w:rsid w:val="00923653"/>
    <w:rsid w:val="009C33FE"/>
    <w:rsid w:val="00A0062F"/>
    <w:rsid w:val="00BF044D"/>
    <w:rsid w:val="00C07472"/>
    <w:rsid w:val="00C647D0"/>
    <w:rsid w:val="00D31E78"/>
    <w:rsid w:val="00DD6BF7"/>
    <w:rsid w:val="00E22826"/>
    <w:rsid w:val="00FD74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34C7"/>
  <w15:chartTrackingRefBased/>
  <w15:docId w15:val="{1EF2C2FF-0E57-4092-A8FE-3FC0D9D98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qFormat/>
    <w:rsid w:val="005C2742"/>
    <w:pPr>
      <w:keepNext/>
      <w:spacing w:before="240" w:after="60" w:line="240" w:lineRule="auto"/>
      <w:outlineLvl w:val="0"/>
    </w:pPr>
    <w:rPr>
      <w:rFonts w:asciiTheme="majorHAnsi" w:eastAsiaTheme="majorEastAsia" w:hAnsiTheme="majorHAnsi" w:cstheme="majorBidi"/>
      <w:b/>
      <w:bCs/>
      <w:kern w:val="32"/>
      <w:sz w:val="32"/>
      <w:szCs w:val="32"/>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F044D"/>
    <w:pPr>
      <w:spacing w:after="0" w:line="240" w:lineRule="auto"/>
    </w:pPr>
  </w:style>
  <w:style w:type="paragraph" w:styleId="Listenabsatz">
    <w:name w:val="List Paragraph"/>
    <w:basedOn w:val="Standard"/>
    <w:uiPriority w:val="34"/>
    <w:qFormat/>
    <w:rsid w:val="00C07472"/>
    <w:pPr>
      <w:ind w:left="720"/>
      <w:contextualSpacing/>
    </w:pPr>
  </w:style>
  <w:style w:type="character" w:customStyle="1" w:styleId="berschrift1Zchn">
    <w:name w:val="Überschrift 1 Zchn"/>
    <w:basedOn w:val="Absatz-Standardschriftart"/>
    <w:link w:val="berschrift1"/>
    <w:rsid w:val="005C2742"/>
    <w:rPr>
      <w:rFonts w:asciiTheme="majorHAnsi" w:eastAsiaTheme="majorEastAsia" w:hAnsiTheme="majorHAnsi" w:cstheme="majorBidi"/>
      <w:b/>
      <w:bCs/>
      <w:kern w:val="32"/>
      <w:sz w:val="32"/>
      <w:szCs w:val="32"/>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779</Words>
  <Characters>4909</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dc:creator>
  <cp:keywords/>
  <dc:description/>
  <cp:lastModifiedBy>Friedrich</cp:lastModifiedBy>
  <cp:revision>10</cp:revision>
  <dcterms:created xsi:type="dcterms:W3CDTF">2016-05-09T18:14:00Z</dcterms:created>
  <dcterms:modified xsi:type="dcterms:W3CDTF">2016-09-11T13:44:00Z</dcterms:modified>
</cp:coreProperties>
</file>